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13" w:rsidRPr="00407D13" w:rsidRDefault="00407D13" w:rsidP="00407D13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7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Пресс-выпуск</w:t>
      </w:r>
    </w:p>
    <w:p w:rsidR="00AE10A5" w:rsidRDefault="00AE10A5" w:rsidP="00407D13">
      <w:pPr>
        <w:spacing w:after="12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Производство продукции сельского хозяйства в 2019г.</w:t>
      </w:r>
    </w:p>
    <w:p w:rsidR="00407D13" w:rsidRDefault="00B118D3" w:rsidP="00ED04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предварительной оценке, в 2019</w:t>
      </w:r>
      <w:r w:rsidR="00407D13" w:rsidRPr="000D08EC">
        <w:rPr>
          <w:sz w:val="28"/>
          <w:szCs w:val="28"/>
        </w:rPr>
        <w:t> 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всеми сельхозпроизводителями области произведено продукции сельского хозяйства в фактически действовавших ценах на сумму 103153,1 </w:t>
      </w:r>
      <w:proofErr w:type="gramStart"/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12,</w:t>
      </w:r>
      <w:r w:rsidR="00DA2B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больше, чем в 2018</w:t>
      </w:r>
      <w:r w:rsidR="00407D13" w:rsidRPr="000D08EC">
        <w:rPr>
          <w:sz w:val="28"/>
          <w:szCs w:val="28"/>
        </w:rPr>
        <w:t> 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(в сопоставимой оценке), в том числе продукции растениеводства – на 53906,6 млн рублей (на 11,3% больше), продукции животноводства – на 49246,5 млн рублей (на 14,1% больш</w:t>
      </w:r>
      <w:r w:rsidR="00407D13">
        <w:rPr>
          <w:rFonts w:ascii="Times New Roman" w:eastAsia="Times New Roman" w:hAnsi="Times New Roman" w:cs="Times New Roman"/>
          <w:sz w:val="28"/>
          <w:szCs w:val="28"/>
          <w:lang w:eastAsia="ru-RU"/>
        </w:rPr>
        <w:t>е).</w:t>
      </w:r>
    </w:p>
    <w:p w:rsidR="00ED040C" w:rsidRDefault="00ED040C" w:rsidP="00ED04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407D13" w:rsidRPr="000D08EC">
        <w:rPr>
          <w:sz w:val="28"/>
          <w:szCs w:val="28"/>
        </w:rPr>
        <w:t> 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объемам производства продукции сельского хозяйства Пензенская область опережала такие регионы как Нижегородская, Ульяновская области, республик</w:t>
      </w:r>
      <w:r w:rsidR="00DA2B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Мордовия, Удмуртия, Чувашия и практически достигла уровня Самарской области (104,3 </w:t>
      </w:r>
      <w:proofErr w:type="gramStart"/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 – 6-е место среди регионов ПФО.</w:t>
      </w:r>
    </w:p>
    <w:p w:rsidR="007A08EB" w:rsidRDefault="00B118D3" w:rsidP="00CA3B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сельскохозяйственных организациях производство </w:t>
      </w:r>
      <w:r w:rsidR="0040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сельхозпродукции 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407D13" w:rsidRPr="000D08EC">
        <w:rPr>
          <w:sz w:val="28"/>
          <w:szCs w:val="28"/>
        </w:rPr>
        <w:t> 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сравнению с 2018</w:t>
      </w:r>
      <w:r w:rsidR="00407D13" w:rsidRPr="000D08EC">
        <w:rPr>
          <w:sz w:val="28"/>
          <w:szCs w:val="28"/>
        </w:rPr>
        <w:t> 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возросло на 16,9%.</w:t>
      </w:r>
      <w:r w:rsidR="00B20588"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407D13" w:rsidRPr="000D08EC">
        <w:rPr>
          <w:sz w:val="28"/>
          <w:szCs w:val="28"/>
        </w:rPr>
        <w:t> </w:t>
      </w:r>
      <w:r w:rsidR="00B20588"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хозяйствами населения, фермерами и </w:t>
      </w:r>
      <w:proofErr w:type="spellStart"/>
      <w:r w:rsidR="00B20588"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индивидуалами</w:t>
      </w:r>
      <w:proofErr w:type="spellEnd"/>
      <w:r w:rsidR="00B20588"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произведено</w:t>
      </w:r>
      <w:r w:rsidR="0040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588"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28,7%</w:t>
      </w:r>
      <w:r w:rsidR="0040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588"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продукции сельского хозяйства региона, причем доля хозяйств населения по сравнению с 2010</w:t>
      </w:r>
      <w:r w:rsidR="00407D13" w:rsidRPr="000D08EC">
        <w:rPr>
          <w:sz w:val="28"/>
          <w:szCs w:val="28"/>
        </w:rPr>
        <w:t> </w:t>
      </w:r>
      <w:r w:rsidR="00B20588"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снизилась на 37,3%, в то время как удельный вес крестьянских (фермерских) хозяйств и индивидуальных предпринимателей возрос на 7,9%</w:t>
      </w:r>
      <w:r w:rsidR="00DA2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0588" w:rsidRPr="00B73710" w:rsidRDefault="00B20588" w:rsidP="00CA3B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407D13" w:rsidRPr="000D08EC">
        <w:rPr>
          <w:sz w:val="28"/>
          <w:szCs w:val="28"/>
        </w:rPr>
        <w:t> 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07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07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продукции сельского хозяйства на сумму 11,6 </w:t>
      </w:r>
      <w:proofErr w:type="gramStart"/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 на 7,2% больше, чем в 2018</w:t>
      </w:r>
      <w:r w:rsidR="00407D13" w:rsidRPr="000D08EC">
        <w:rPr>
          <w:sz w:val="28"/>
          <w:szCs w:val="28"/>
        </w:rPr>
        <w:t> 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сельскохозяйственном производстве крестьянских (фермерских) хозяйств и индивидуальных предпринимателей доминирует производство растениеводческой продукции, на долю которой в 2019</w:t>
      </w:r>
      <w:r w:rsidR="00407D13" w:rsidRPr="000D08EC">
        <w:rPr>
          <w:sz w:val="28"/>
          <w:szCs w:val="28"/>
        </w:rPr>
        <w:t> 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приходилось 82,3% общего объема произведенной продукции. Причем данная тенденция сохраняется на протяжении всего</w:t>
      </w:r>
      <w:r w:rsidR="0040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существования фермерских хозяйств.</w:t>
      </w:r>
    </w:p>
    <w:p w:rsidR="00B20588" w:rsidRPr="00685B44" w:rsidRDefault="00B20588" w:rsidP="00CA3B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407D13" w:rsidRPr="000D08EC">
        <w:rPr>
          <w:sz w:val="28"/>
          <w:szCs w:val="28"/>
        </w:rPr>
        <w:t> </w:t>
      </w:r>
      <w:r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объему прои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зведенной сельскохозяйственной продукции в крестьянских (фермерских) хозяйствах и у индивидуальных предпринимателей Пензенская область среди регионов ПФО занимала 6-е место.</w:t>
      </w:r>
    </w:p>
    <w:p w:rsidR="00A10CFF" w:rsidRDefault="00723E72" w:rsidP="00CA3B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407D13" w:rsidRPr="000D08EC">
        <w:rPr>
          <w:sz w:val="28"/>
          <w:szCs w:val="28"/>
        </w:rPr>
        <w:t> 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хозяйствах населения произведено продукции сельского хозяйства на сумму 18,0 </w:t>
      </w:r>
      <w:proofErr w:type="gramStart"/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5F7DA6"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DA2B6A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5F7DA6"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F7DA6"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в 2018</w:t>
      </w:r>
      <w:r w:rsidR="00407D13" w:rsidRPr="000D08EC">
        <w:rPr>
          <w:sz w:val="28"/>
          <w:szCs w:val="28"/>
        </w:rPr>
        <w:t> </w:t>
      </w:r>
      <w:r w:rsidR="005F7DA6" w:rsidRPr="00B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23E72" w:rsidRPr="00685B44" w:rsidRDefault="00723E72" w:rsidP="00CA3B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2010-2012</w:t>
      </w:r>
      <w:r w:rsidR="00407D13" w:rsidRPr="000D08EC">
        <w:rPr>
          <w:sz w:val="28"/>
          <w:szCs w:val="28"/>
        </w:rPr>
        <w:t> 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сохранялся паритет между сельскохозяйственными организациями и хозяйствами населения при производстве сельскохозяйственной продукции. Если сельскохозяйственными организациями в 2012</w:t>
      </w:r>
      <w:r w:rsidR="00407D13" w:rsidRPr="000D08EC">
        <w:rPr>
          <w:sz w:val="28"/>
          <w:szCs w:val="28"/>
        </w:rPr>
        <w:t> 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было произведено 50,0%</w:t>
      </w:r>
      <w:r w:rsidR="0040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продукции сельского хозяйства (в 2010</w:t>
      </w:r>
      <w:r w:rsidR="00407D13" w:rsidRPr="000D08EC">
        <w:rPr>
          <w:sz w:val="28"/>
          <w:szCs w:val="28"/>
        </w:rPr>
        <w:t> 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41,9%), то хозяйствами населения – 43,5% (в 2010</w:t>
      </w:r>
      <w:r w:rsidR="00407D13" w:rsidRPr="000D08EC">
        <w:rPr>
          <w:sz w:val="28"/>
          <w:szCs w:val="28"/>
        </w:rPr>
        <w:t> </w:t>
      </w:r>
      <w:r w:rsidR="007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54,7%).</w:t>
      </w:r>
    </w:p>
    <w:p w:rsidR="00723E72" w:rsidRPr="00685B44" w:rsidRDefault="00723E72" w:rsidP="00CA3B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2013-2019</w:t>
      </w:r>
      <w:r w:rsidR="00407D13" w:rsidRPr="000D08EC">
        <w:rPr>
          <w:sz w:val="28"/>
          <w:szCs w:val="28"/>
        </w:rPr>
        <w:t> 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ситуация изменилась существенным образом: удельный вес хозяйств населения в общем объеме произведенной в области сельскохозяйственной продукции снизился с 43,5% в 2012</w:t>
      </w:r>
      <w:r w:rsidR="00407D13" w:rsidRPr="000D08EC">
        <w:rPr>
          <w:sz w:val="28"/>
          <w:szCs w:val="28"/>
        </w:rPr>
        <w:t> 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до 17,4% </w:t>
      </w:r>
      <w:r w:rsidR="00407D13"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407D13" w:rsidRPr="000D08EC">
        <w:rPr>
          <w:sz w:val="28"/>
          <w:szCs w:val="28"/>
        </w:rPr>
        <w:t> 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при росте доли 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сельскохозяйственных организаций (на 29,4%) и крестьянских (фермерских) хозяйств и индивидуаль</w:t>
      </w:r>
      <w:r w:rsidR="007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предпринимателей (</w:t>
      </w:r>
      <w:proofErr w:type="gramStart"/>
      <w:r w:rsidR="007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7,9%).</w:t>
      </w:r>
      <w:bookmarkStart w:id="0" w:name="_GoBack"/>
      <w:bookmarkEnd w:id="0"/>
    </w:p>
    <w:p w:rsidR="00B118D3" w:rsidRPr="00685B44" w:rsidRDefault="00723E72" w:rsidP="00CA3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объемов производства продукции сельского хозяйства в хозяйствах населения произошло преимущественно за счет снижения объемов производимой животноводческой продукции.</w:t>
      </w:r>
    </w:p>
    <w:p w:rsidR="00950627" w:rsidRDefault="00723E72" w:rsidP="00CA3B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 за 2019</w:t>
      </w:r>
      <w:r w:rsidR="00407D13" w:rsidRPr="000D08EC">
        <w:rPr>
          <w:sz w:val="28"/>
          <w:szCs w:val="28"/>
        </w:rPr>
        <w:t> </w:t>
      </w:r>
      <w:r w:rsidRPr="006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составил 112,6%. Это на 8,3%  выше среднерегионального по ПФО и выше среднероссийского на 8,6% (индекс производства по России – 104,0%, ПФО – 104,3%). По индексу производства продукции сельского хозяйства регион заним</w:t>
      </w:r>
      <w:r w:rsidR="00407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1-е место в ПФО и 6-е в РФ.</w:t>
      </w:r>
    </w:p>
    <w:p w:rsidR="00407D13" w:rsidRPr="00950627" w:rsidRDefault="00407D13" w:rsidP="00CA3B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50627" w:rsidRDefault="0030100C" w:rsidP="00950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1EF46" wp14:editId="28B52B18">
            <wp:extent cx="6376946" cy="4412974"/>
            <wp:effectExtent l="0" t="0" r="508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7D13" w:rsidRDefault="00407D13" w:rsidP="00950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13" w:rsidRDefault="00407D13" w:rsidP="00407D1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В.Н. Галева,</w:t>
      </w:r>
    </w:p>
    <w:p w:rsidR="00407D13" w:rsidRDefault="00407D13" w:rsidP="00407D1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7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статистики сельского хозяйства</w:t>
      </w:r>
    </w:p>
    <w:p w:rsidR="00407D13" w:rsidRPr="00407D13" w:rsidRDefault="00407D13" w:rsidP="00407D1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7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окружающей природной среды</w:t>
      </w:r>
    </w:p>
    <w:sectPr w:rsidR="00407D13" w:rsidRPr="00407D13" w:rsidSect="00407D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B9"/>
    <w:rsid w:val="000268FC"/>
    <w:rsid w:val="0030100C"/>
    <w:rsid w:val="00357655"/>
    <w:rsid w:val="00407D13"/>
    <w:rsid w:val="005F7DA6"/>
    <w:rsid w:val="00673D07"/>
    <w:rsid w:val="00685B44"/>
    <w:rsid w:val="00723E72"/>
    <w:rsid w:val="007A08EB"/>
    <w:rsid w:val="007F3935"/>
    <w:rsid w:val="00950627"/>
    <w:rsid w:val="00A10CFF"/>
    <w:rsid w:val="00AE10A5"/>
    <w:rsid w:val="00B118D3"/>
    <w:rsid w:val="00B20588"/>
    <w:rsid w:val="00B73710"/>
    <w:rsid w:val="00C50AB9"/>
    <w:rsid w:val="00C5191D"/>
    <w:rsid w:val="00CA3BD0"/>
    <w:rsid w:val="00D56C1E"/>
    <w:rsid w:val="00DA2B6A"/>
    <w:rsid w:val="00E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58-srv-fs\inform\02-&#1054;&#1090;&#1076;&#1077;&#1083;%20&#1089;&#1074;&#1086;&#1076;&#1085;&#1099;&#1093;%20&#1089;&#1090;&#1072;&#1090;&#1080;&#1089;&#1090;&#1080;&#1095;&#1077;&#1089;&#1082;&#1080;&#1093;%20&#1088;&#1072;&#1073;&#1086;&#1090;\()&#1042;&#1057;&#1045;\()&#1054;&#1073;&#1097;&#1080;&#1081;%20&#1076;&#1083;&#1103;%20&#1054;&#1090;&#1076;&#1077;&#1083;&#1086;&#1074;\&#1044;&#1086;&#1082;&#1083;&#1072;&#1076;%20&#1043;&#1091;&#1073;&#1088;&#1085;&#1072;&#1090;&#1086;&#1088;&#1091;%2010.02.2020\&#1043;&#1088;&#1072;&#1092;&#1080;&#1082;&#1080;\&#1043;&#1086;&#1090;&#1086;&#1074;&#1086;&#1077;\04%20&#1048;&#1085;&#1076;&#1077;&#1082;&#1089;%20&#1089;&#1093;%20&#1055;&#1060;&#1054;_&#1086;&#1073;&#1097;&#1080;&#1081;++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Индекс  производства </a:t>
            </a:r>
            <a:r>
              <a:rPr lang="ru-RU" baseline="0"/>
              <a:t> продукции сельского хозяйства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baseline="0"/>
              <a:t>по  </a:t>
            </a:r>
            <a:r>
              <a:rPr lang="ru-RU"/>
              <a:t>регионам Приволжского федерального округа
</a:t>
            </a:r>
            <a:r>
              <a:rPr lang="ru-RU" b="0"/>
              <a:t>(2019 г. в %</a:t>
            </a:r>
            <a:r>
              <a:rPr lang="ru-RU" b="0" baseline="0"/>
              <a:t> к 2018 г.; данные предварительные) </a:t>
            </a:r>
            <a:endParaRPr lang="ru-RU" b="0"/>
          </a:p>
        </c:rich>
      </c:tx>
      <c:layout>
        <c:manualLayout>
          <c:xMode val="edge"/>
          <c:yMode val="edge"/>
          <c:x val="0.16616461403862978"/>
          <c:y val="1.383675332878862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22958583907226E-2"/>
          <c:y val="0.13275687826354482"/>
          <c:w val="0.95127118644067798"/>
          <c:h val="0.88754616199290881"/>
        </c:manualLayout>
      </c:layout>
      <c:barChart>
        <c:barDir val="col"/>
        <c:grouping val="clustered"/>
        <c:varyColors val="1"/>
        <c:ser>
          <c:idx val="1"/>
          <c:order val="0"/>
          <c:spPr>
            <a:gradFill>
              <a:gsLst>
                <a:gs pos="51000">
                  <a:schemeClr val="tx2">
                    <a:lumMod val="60000"/>
                    <a:lumOff val="40000"/>
                  </a:schemeClr>
                </a:gs>
                <a:gs pos="100000">
                  <a:schemeClr val="tx2">
                    <a:lumMod val="75000"/>
                  </a:schemeClr>
                </a:gs>
                <a:gs pos="0">
                  <a:schemeClr val="tx2">
                    <a:lumMod val="75000"/>
                  </a:schemeClr>
                </a:gs>
              </a:gsLst>
              <a:lin ang="108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51000">
                    <a:srgbClr val="33CC33"/>
                  </a:gs>
                  <a:gs pos="100000">
                    <a:srgbClr val="003300"/>
                  </a:gs>
                  <a:gs pos="0">
                    <a:srgbClr val="003300"/>
                  </a:gs>
                </a:gsLst>
                <a:lin ang="108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51000">
                    <a:srgbClr val="FFFF66"/>
                  </a:gs>
                  <a:gs pos="100000">
                    <a:srgbClr val="CC9900"/>
                  </a:gs>
                  <a:gs pos="0">
                    <a:srgbClr val="CC9900"/>
                  </a:gs>
                </a:gsLst>
                <a:lin ang="108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51000">
                    <a:srgbClr val="FF7C80"/>
                  </a:gs>
                  <a:gs pos="100000">
                    <a:srgbClr val="C00000"/>
                  </a:gs>
                  <a:gs pos="0">
                    <a:srgbClr val="C00000"/>
                  </a:gs>
                </a:gsLst>
                <a:lin ang="10800000" scaled="0"/>
              </a:gradFill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  <c:spPr>
              <a:gradFill>
                <a:gsLst>
                  <a:gs pos="51000">
                    <a:schemeClr val="accent6">
                      <a:lumMod val="40000"/>
                      <a:lumOff val="60000"/>
                    </a:schemeClr>
                  </a:gs>
                  <a:gs pos="100000">
                    <a:schemeClr val="accent6">
                      <a:lumMod val="50000"/>
                    </a:schemeClr>
                  </a:gs>
                  <a:gs pos="0">
                    <a:schemeClr val="accent6">
                      <a:lumMod val="50000"/>
                    </a:schemeClr>
                  </a:gs>
                </a:gsLst>
                <a:lin ang="10800000" scaled="0"/>
              </a:gradFill>
            </c:spPr>
          </c:dPt>
          <c:dLbls>
            <c:dLbl>
              <c:idx val="0"/>
              <c:layout>
                <c:manualLayout>
                  <c:x val="1.3948791259375951E-3"/>
                  <c:y val="7.46078306338484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129395218002813E-3"/>
                  <c:y val="2.36763240065424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26100474589971E-3"/>
                  <c:y val="5.75719679821282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026100474590227E-3"/>
                  <c:y val="5.7571967982128214E-3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 rtl="0">
                    <a:defRPr lang="en-US" sz="10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026100474590227E-3"/>
                  <c:y val="7.6762623976170952E-3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027204891950433E-3"/>
                  <c:y val="5.7571967982128214E-3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7.6762623976170952E-3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5.7571967982128214E-3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8052200949180454E-3"/>
                  <c:y val="7.23623727750172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394547800729534E-3"/>
                  <c:y val="8.1394069694418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7.4033214613967254E-6"/>
                  <c:y val="7.8134680325981243E-3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 rtl="0">
                    <a:defRPr lang="en-US" sz="10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24874364529825E-3"/>
                  <c:y val="3.6886858540990334E-3"/>
                </c:manualLayout>
              </c:layout>
              <c:tx>
                <c:rich>
                  <a:bodyPr anchor="t" anchorCtr="1"/>
                  <a:lstStyle/>
                  <a:p>
                    <a:pPr algn="ctr" rtl="0">
                      <a:def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102.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numFmt formatCode="#,##0.0" sourceLinked="0"/>
              <c:spPr>
                <a:noFill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2214401957482396E-3"/>
                  <c:y val="5.72425535721517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384642107971027E-3"/>
                  <c:y val="4.54108341679505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3955813441603043E-3"/>
                  <c:y val="-4.368518620376185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4062198608364553E-3"/>
                  <c:y val="0.197263858232736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0.19723597132825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</c:spPr>
            <c:txPr>
              <a:bodyPr anchor="t" anchorCtr="1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данные!$A$5:$A$20</c:f>
              <c:strCache>
                <c:ptCount val="16"/>
                <c:pt idx="0">
                  <c:v>Российская Федерация</c:v>
                </c:pt>
                <c:pt idx="1">
                  <c:v>Приволжский Федеральный округ </c:v>
                </c:pt>
                <c:pt idx="2">
                  <c:v>Пензенская область</c:v>
                </c:pt>
                <c:pt idx="3">
                  <c:v>Республика Марий Эл</c:v>
                </c:pt>
                <c:pt idx="4">
                  <c:v>Республика Мордовия</c:v>
                </c:pt>
                <c:pt idx="5">
                  <c:v>Саратовская область</c:v>
                </c:pt>
                <c:pt idx="6">
                  <c:v>Самарская область</c:v>
                </c:pt>
                <c:pt idx="7">
                  <c:v>Чувашская Республика</c:v>
                </c:pt>
                <c:pt idx="8">
                  <c:v>Ульяновская область</c:v>
                </c:pt>
                <c:pt idx="9">
                  <c:v>Нижегородская область</c:v>
                </c:pt>
                <c:pt idx="10">
                  <c:v>Республика Татарстан</c:v>
                </c:pt>
                <c:pt idx="11">
                  <c:v>Оренбургская область</c:v>
                </c:pt>
                <c:pt idx="12">
                  <c:v>Республика Башкортостан</c:v>
                </c:pt>
                <c:pt idx="13">
                  <c:v>Кировская область</c:v>
                </c:pt>
                <c:pt idx="14">
                  <c:v>Удмуртская Республика</c:v>
                </c:pt>
                <c:pt idx="15">
                  <c:v>Пермский край</c:v>
                </c:pt>
              </c:strCache>
            </c:strRef>
          </c:cat>
          <c:val>
            <c:numRef>
              <c:f>данные!$B$5:$B$20</c:f>
              <c:numCache>
                <c:formatCode>General</c:formatCode>
                <c:ptCount val="16"/>
                <c:pt idx="0" formatCode="0.0">
                  <c:v>104</c:v>
                </c:pt>
                <c:pt idx="1">
                  <c:v>104.3</c:v>
                </c:pt>
                <c:pt idx="2" formatCode="0.0">
                  <c:v>112.6</c:v>
                </c:pt>
                <c:pt idx="3" formatCode="0.0">
                  <c:v>110.5</c:v>
                </c:pt>
                <c:pt idx="4" formatCode="0.0">
                  <c:v>109</c:v>
                </c:pt>
                <c:pt idx="5" formatCode="0.0">
                  <c:v>106.3</c:v>
                </c:pt>
                <c:pt idx="6" formatCode="0.0">
                  <c:v>105.7</c:v>
                </c:pt>
                <c:pt idx="7" formatCode="0.0">
                  <c:v>105.1</c:v>
                </c:pt>
                <c:pt idx="8" formatCode="0.0">
                  <c:v>104.4</c:v>
                </c:pt>
                <c:pt idx="9" formatCode="0.0">
                  <c:v>103.8</c:v>
                </c:pt>
                <c:pt idx="10" formatCode="0.0">
                  <c:v>103</c:v>
                </c:pt>
                <c:pt idx="11" formatCode="0.0">
                  <c:v>102</c:v>
                </c:pt>
                <c:pt idx="12" formatCode="0.0">
                  <c:v>102</c:v>
                </c:pt>
                <c:pt idx="13" formatCode="0.0">
                  <c:v>101.9</c:v>
                </c:pt>
                <c:pt idx="14" formatCode="0.0">
                  <c:v>100.9</c:v>
                </c:pt>
                <c:pt idx="15" formatCode="0.0">
                  <c:v>95.3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4775424"/>
        <c:axId val="34776960"/>
      </c:barChart>
      <c:catAx>
        <c:axId val="3477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776960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34776960"/>
        <c:scaling>
          <c:orientation val="minMax"/>
          <c:max val="115"/>
          <c:min val="88"/>
        </c:scaling>
        <c:delete val="0"/>
        <c:axPos val="l"/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775424"/>
        <c:crosses val="autoZero"/>
        <c:crossBetween val="between"/>
        <c:majorUnit val="2"/>
        <c:minorUnit val="0.4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Галёва Валентина Николаевна</dc:creator>
  <cp:lastModifiedBy>Хохлова Татьяна Рамазановна</cp:lastModifiedBy>
  <cp:revision>12</cp:revision>
  <cp:lastPrinted>2020-02-13T08:42:00Z</cp:lastPrinted>
  <dcterms:created xsi:type="dcterms:W3CDTF">2020-02-06T11:38:00Z</dcterms:created>
  <dcterms:modified xsi:type="dcterms:W3CDTF">2020-02-13T10:24:00Z</dcterms:modified>
</cp:coreProperties>
</file>